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0FA0F" w14:textId="77777777" w:rsidR="00124FE8" w:rsidRPr="007455B1" w:rsidRDefault="00124FE8" w:rsidP="00124FE8">
      <w:pPr>
        <w:pStyle w:val="Nagwek4"/>
        <w:spacing w:after="0"/>
        <w:jc w:val="both"/>
        <w:rPr>
          <w:rFonts w:ascii="Bookman Old Style" w:hAnsi="Bookman Old Style"/>
        </w:rPr>
      </w:pPr>
      <w:bookmarkStart w:id="0" w:name="_Toc237049026"/>
      <w:bookmarkStart w:id="1" w:name="_Toc288036143"/>
      <w:bookmarkStart w:id="2" w:name="_Toc353178686"/>
      <w:bookmarkStart w:id="3" w:name="_Ref379784869"/>
      <w:bookmarkStart w:id="4" w:name="_Toc501399475"/>
      <w:r w:rsidRPr="007455B1">
        <w:rPr>
          <w:rFonts w:ascii="Bookman Old Style" w:hAnsi="Bookman Old Style"/>
        </w:rPr>
        <w:t xml:space="preserve">D-01.01.01. Wyznaczenie trasy i punktów wysokościowych </w:t>
      </w:r>
      <w:bookmarkEnd w:id="0"/>
      <w:bookmarkEnd w:id="1"/>
      <w:bookmarkEnd w:id="2"/>
      <w:bookmarkEnd w:id="3"/>
      <w:r w:rsidRPr="007455B1">
        <w:rPr>
          <w:rFonts w:ascii="Bookman Old Style" w:hAnsi="Bookman Old Style"/>
        </w:rPr>
        <w:t xml:space="preserve">dróg </w:t>
      </w:r>
      <w:r w:rsidRPr="007455B1">
        <w:rPr>
          <w:rFonts w:ascii="Bookman Old Style" w:hAnsi="Bookman Old Style"/>
        </w:rPr>
        <w:br/>
        <w:t>w terenie równinnym</w:t>
      </w:r>
      <w:bookmarkEnd w:id="4"/>
    </w:p>
    <w:p w14:paraId="75B5FD58" w14:textId="77777777" w:rsidR="00124FE8" w:rsidRPr="007455B1" w:rsidRDefault="00124FE8" w:rsidP="00124FE8">
      <w:pPr>
        <w:pStyle w:val="Tematkomentarza1"/>
        <w:keepNext/>
        <w:keepLines/>
        <w:spacing w:before="240"/>
        <w:jc w:val="both"/>
        <w:rPr>
          <w:rFonts w:ascii="Bookman Old Style" w:hAnsi="Bookman Old Style"/>
        </w:rPr>
      </w:pPr>
      <w:r w:rsidRPr="007455B1">
        <w:rPr>
          <w:rFonts w:ascii="Bookman Old Style" w:hAnsi="Bookman Old Style"/>
        </w:rPr>
        <w:t>1. WSTĘP</w:t>
      </w:r>
    </w:p>
    <w:p w14:paraId="61C50863" w14:textId="77777777" w:rsidR="00124FE8" w:rsidRPr="007455B1" w:rsidRDefault="00124FE8" w:rsidP="00124FE8">
      <w:pPr>
        <w:keepNext/>
        <w:keepLines/>
        <w:jc w:val="both"/>
        <w:rPr>
          <w:rFonts w:ascii="Bookman Old Style" w:hAnsi="Bookman Old Style"/>
          <w:b/>
          <w:sz w:val="20"/>
          <w:u w:val="single"/>
        </w:rPr>
      </w:pPr>
      <w:r w:rsidRPr="007455B1">
        <w:rPr>
          <w:rFonts w:ascii="Bookman Old Style" w:hAnsi="Bookman Old Style"/>
          <w:b/>
          <w:sz w:val="20"/>
          <w:u w:val="single"/>
        </w:rPr>
        <w:t>1.1. Przedmiot STWiORB</w:t>
      </w:r>
    </w:p>
    <w:p w14:paraId="5EDF9BB3" w14:textId="6AD5898D" w:rsidR="00124FE8" w:rsidRPr="007455B1" w:rsidRDefault="00124FE8" w:rsidP="00124FE8">
      <w:pPr>
        <w:jc w:val="both"/>
        <w:rPr>
          <w:rFonts w:ascii="Bookman Old Style" w:hAnsi="Bookman Old Style"/>
          <w:b/>
          <w:sz w:val="20"/>
          <w:szCs w:val="20"/>
        </w:rPr>
      </w:pPr>
      <w:r w:rsidRPr="007455B1">
        <w:rPr>
          <w:rFonts w:ascii="Bookman Old Style" w:hAnsi="Bookman Old Style"/>
          <w:sz w:val="20"/>
          <w:szCs w:val="20"/>
        </w:rPr>
        <w:t xml:space="preserve">Przedmiotem niniejszej STWiORB są wymagania dotyczące wykonania i odbioru robót związanych z odtworzeniem osi trasy oraz wyznaczeniem punktów wysokościowych w terenie równinnym, dla zadania pn.: </w:t>
      </w:r>
      <w:r w:rsidR="00E142AC" w:rsidRPr="00E142AC">
        <w:rPr>
          <w:rFonts w:ascii="Bookman Old Style" w:hAnsi="Bookman Old Style"/>
          <w:b/>
          <w:sz w:val="20"/>
          <w:szCs w:val="20"/>
        </w:rPr>
        <w:t>„</w:t>
      </w:r>
      <w:r w:rsidR="00A00262" w:rsidRPr="00A00262">
        <w:rPr>
          <w:rFonts w:ascii="Bookman Old Style" w:hAnsi="Bookman Old Style"/>
          <w:b/>
          <w:sz w:val="20"/>
          <w:szCs w:val="20"/>
        </w:rPr>
        <w:t>Budowa ul. Cichej, Południowej i Zachodniej w msc. Bukowa</w:t>
      </w:r>
      <w:r w:rsidR="00E142AC" w:rsidRPr="00E142AC">
        <w:rPr>
          <w:rFonts w:ascii="Bookman Old Style" w:hAnsi="Bookman Old Style"/>
          <w:b/>
          <w:sz w:val="20"/>
          <w:szCs w:val="20"/>
        </w:rPr>
        <w:t>”</w:t>
      </w:r>
    </w:p>
    <w:p w14:paraId="436504C8" w14:textId="77777777" w:rsidR="00124FE8" w:rsidRPr="007455B1" w:rsidRDefault="00124FE8" w:rsidP="00124FE8">
      <w:pPr>
        <w:jc w:val="both"/>
        <w:rPr>
          <w:rFonts w:ascii="Bookman Old Style" w:hAnsi="Bookman Old Style"/>
          <w:b/>
          <w:sz w:val="20"/>
          <w:u w:val="single"/>
        </w:rPr>
      </w:pPr>
      <w:r w:rsidRPr="007455B1">
        <w:rPr>
          <w:rFonts w:ascii="Bookman Old Style" w:hAnsi="Bookman Old Style"/>
          <w:b/>
          <w:sz w:val="20"/>
          <w:u w:val="single"/>
        </w:rPr>
        <w:t>1.2. Zakres stosowania STWiORB</w:t>
      </w:r>
    </w:p>
    <w:p w14:paraId="157555EF" w14:textId="77777777" w:rsidR="00124FE8" w:rsidRPr="007455B1" w:rsidRDefault="00124FE8" w:rsidP="00124FE8">
      <w:pPr>
        <w:pStyle w:val="Tekstpodstawowy"/>
        <w:jc w:val="both"/>
        <w:rPr>
          <w:rFonts w:ascii="Bookman Old Style" w:hAnsi="Bookman Old Style"/>
          <w:b w:val="0"/>
          <w:color w:val="auto"/>
          <w:sz w:val="20"/>
        </w:rPr>
      </w:pPr>
      <w:r w:rsidRPr="007455B1">
        <w:rPr>
          <w:rFonts w:ascii="Bookman Old Style" w:hAnsi="Bookman Old Style"/>
          <w:b w:val="0"/>
          <w:color w:val="auto"/>
          <w:sz w:val="20"/>
        </w:rPr>
        <w:t xml:space="preserve">STWiORB jest stosowana jako dokument kontraktowy przy realizacji robót wymienionych w p. 1.1. </w:t>
      </w:r>
    </w:p>
    <w:p w14:paraId="516E6D2B" w14:textId="77777777" w:rsidR="00124FE8" w:rsidRPr="007455B1" w:rsidRDefault="00124FE8" w:rsidP="00124FE8">
      <w:pPr>
        <w:pStyle w:val="Tekstpodstawowy"/>
        <w:jc w:val="both"/>
        <w:rPr>
          <w:rFonts w:ascii="Bookman Old Style" w:hAnsi="Bookman Old Style"/>
          <w:color w:val="auto"/>
          <w:sz w:val="20"/>
          <w:u w:val="single"/>
        </w:rPr>
      </w:pPr>
      <w:r w:rsidRPr="007455B1">
        <w:rPr>
          <w:rFonts w:ascii="Bookman Old Style" w:hAnsi="Bookman Old Style"/>
          <w:color w:val="auto"/>
          <w:sz w:val="20"/>
          <w:u w:val="single"/>
        </w:rPr>
        <w:t>1.3. Zakres robót objętych STWiORB</w:t>
      </w:r>
    </w:p>
    <w:p w14:paraId="145EDF11" w14:textId="77777777" w:rsidR="00124FE8" w:rsidRPr="007455B1" w:rsidRDefault="00124FE8" w:rsidP="00124FE8">
      <w:pPr>
        <w:jc w:val="both"/>
        <w:rPr>
          <w:rFonts w:ascii="Bookman Old Style" w:hAnsi="Bookman Old Style"/>
          <w:sz w:val="20"/>
        </w:rPr>
      </w:pPr>
      <w:r w:rsidRPr="007455B1">
        <w:rPr>
          <w:rFonts w:ascii="Bookman Old Style" w:hAnsi="Bookman Old Style"/>
          <w:sz w:val="20"/>
        </w:rPr>
        <w:t xml:space="preserve">Ustalenia zawarte w niniejszej STWiORB dotyczą prowadzenia robót związanych </w:t>
      </w:r>
      <w:r w:rsidRPr="007455B1">
        <w:rPr>
          <w:rFonts w:ascii="Bookman Old Style" w:hAnsi="Bookman Old Style"/>
          <w:sz w:val="20"/>
        </w:rPr>
        <w:br/>
        <w:t>z odtworzeniem i wyznaczeniem w terenie równinnym przebiegu trasy układu drogowego zgodnie z Dokumentacją Projektową i obejmuje:</w:t>
      </w:r>
    </w:p>
    <w:p w14:paraId="16A05DDA" w14:textId="77777777" w:rsidR="00124FE8" w:rsidRPr="007455B1" w:rsidRDefault="00124FE8" w:rsidP="00124FE8">
      <w:pPr>
        <w:numPr>
          <w:ilvl w:val="0"/>
          <w:numId w:val="2"/>
        </w:numPr>
        <w:ind w:left="284" w:hanging="284"/>
        <w:jc w:val="both"/>
        <w:rPr>
          <w:rFonts w:ascii="Bookman Old Style" w:hAnsi="Bookman Old Style"/>
          <w:sz w:val="20"/>
        </w:rPr>
      </w:pPr>
      <w:r w:rsidRPr="007455B1">
        <w:rPr>
          <w:rFonts w:ascii="Bookman Old Style" w:hAnsi="Bookman Old Style"/>
          <w:sz w:val="20"/>
        </w:rPr>
        <w:t>wyznaczenie punktów głównych osi trasy,</w:t>
      </w:r>
    </w:p>
    <w:p w14:paraId="213D4366" w14:textId="77777777" w:rsidR="00124FE8" w:rsidRPr="007455B1" w:rsidRDefault="00124FE8" w:rsidP="00124FE8">
      <w:pPr>
        <w:numPr>
          <w:ilvl w:val="0"/>
          <w:numId w:val="2"/>
        </w:numPr>
        <w:ind w:left="284" w:hanging="284"/>
        <w:jc w:val="both"/>
        <w:rPr>
          <w:rFonts w:ascii="Bookman Old Style" w:hAnsi="Bookman Old Style"/>
          <w:sz w:val="20"/>
        </w:rPr>
      </w:pPr>
      <w:r w:rsidRPr="007455B1">
        <w:rPr>
          <w:rFonts w:ascii="Bookman Old Style" w:hAnsi="Bookman Old Style"/>
          <w:sz w:val="20"/>
        </w:rPr>
        <w:t>wyznaczenie i utrwalenie reperów roboczych,</w:t>
      </w:r>
    </w:p>
    <w:p w14:paraId="464F534E" w14:textId="77777777" w:rsidR="00124FE8" w:rsidRPr="007455B1" w:rsidRDefault="00124FE8" w:rsidP="00124FE8">
      <w:pPr>
        <w:numPr>
          <w:ilvl w:val="0"/>
          <w:numId w:val="2"/>
        </w:numPr>
        <w:ind w:left="284" w:hanging="284"/>
        <w:jc w:val="both"/>
        <w:rPr>
          <w:rFonts w:ascii="Bookman Old Style" w:hAnsi="Bookman Old Style"/>
          <w:sz w:val="20"/>
        </w:rPr>
      </w:pPr>
      <w:r w:rsidRPr="007455B1">
        <w:rPr>
          <w:rFonts w:ascii="Bookman Old Style" w:hAnsi="Bookman Old Style"/>
          <w:sz w:val="20"/>
        </w:rPr>
        <w:t>uzupełnienie osi trasy dodatkowymi punktami,</w:t>
      </w:r>
    </w:p>
    <w:p w14:paraId="4A6D4CFC" w14:textId="77777777" w:rsidR="00124FE8" w:rsidRPr="00343F2B" w:rsidRDefault="00124FE8" w:rsidP="00124FE8">
      <w:pPr>
        <w:numPr>
          <w:ilvl w:val="0"/>
          <w:numId w:val="2"/>
        </w:numPr>
        <w:tabs>
          <w:tab w:val="left" w:pos="614"/>
        </w:tabs>
        <w:ind w:left="284" w:hanging="284"/>
        <w:jc w:val="both"/>
        <w:rPr>
          <w:rFonts w:ascii="Bookman Old Style" w:hAnsi="Bookman Old Style"/>
          <w:sz w:val="20"/>
        </w:rPr>
      </w:pPr>
      <w:r w:rsidRPr="00343F2B">
        <w:rPr>
          <w:rFonts w:ascii="Bookman Old Style" w:hAnsi="Bookman Old Style"/>
          <w:sz w:val="20"/>
        </w:rPr>
        <w:t>zastabilizowanie punktów w sposób trwały, ochrona ich przed zniszczeniem oraz oznakowanie w sposób ułatwiający odszukanie i ewentualne odtworzenie,</w:t>
      </w:r>
    </w:p>
    <w:p w14:paraId="52D6725D" w14:textId="77777777" w:rsidR="00124FE8" w:rsidRPr="00343F2B" w:rsidRDefault="00124FE8" w:rsidP="00124FE8">
      <w:pPr>
        <w:numPr>
          <w:ilvl w:val="0"/>
          <w:numId w:val="2"/>
        </w:numPr>
        <w:tabs>
          <w:tab w:val="left" w:pos="609"/>
        </w:tabs>
        <w:ind w:left="284" w:hanging="284"/>
        <w:jc w:val="both"/>
        <w:rPr>
          <w:rFonts w:ascii="Bookman Old Style" w:hAnsi="Bookman Old Style"/>
          <w:sz w:val="20"/>
        </w:rPr>
      </w:pPr>
      <w:r w:rsidRPr="00343F2B">
        <w:rPr>
          <w:rFonts w:ascii="Bookman Old Style" w:hAnsi="Bookman Old Style"/>
          <w:sz w:val="20"/>
        </w:rPr>
        <w:t>wykonanie pomiarów bieżących w miarę postępu robót, zgodnie z Dokumentacją Projektową.</w:t>
      </w:r>
    </w:p>
    <w:p w14:paraId="07EE34FA"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1.4. Określenie podstawowe</w:t>
      </w:r>
    </w:p>
    <w:p w14:paraId="58731078" w14:textId="77777777" w:rsidR="00124FE8" w:rsidRPr="00343F2B" w:rsidRDefault="00124FE8" w:rsidP="00124FE8">
      <w:pPr>
        <w:tabs>
          <w:tab w:val="left" w:pos="782"/>
        </w:tabs>
        <w:jc w:val="both"/>
        <w:rPr>
          <w:rFonts w:ascii="Bookman Old Style" w:hAnsi="Bookman Old Style"/>
          <w:sz w:val="20"/>
        </w:rPr>
      </w:pPr>
      <w:r w:rsidRPr="00343F2B">
        <w:rPr>
          <w:rFonts w:ascii="Bookman Old Style" w:hAnsi="Bookman Old Style"/>
          <w:b/>
          <w:sz w:val="20"/>
        </w:rPr>
        <w:t>1.4.1</w:t>
      </w:r>
      <w:r w:rsidRPr="00343F2B">
        <w:rPr>
          <w:rFonts w:ascii="Bookman Old Style" w:hAnsi="Bookman Old Style"/>
          <w:sz w:val="20"/>
        </w:rPr>
        <w:t xml:space="preserve">. </w:t>
      </w:r>
      <w:r w:rsidRPr="00343F2B">
        <w:rPr>
          <w:rFonts w:ascii="Bookman Old Style" w:hAnsi="Bookman Old Style"/>
          <w:b/>
          <w:sz w:val="20"/>
        </w:rPr>
        <w:t>Punkty główne trasy</w:t>
      </w:r>
      <w:r w:rsidRPr="00343F2B">
        <w:rPr>
          <w:rFonts w:ascii="Bookman Old Style" w:hAnsi="Bookman Old Style"/>
          <w:sz w:val="20"/>
        </w:rPr>
        <w:t xml:space="preserve"> - Punkty załamania osi trasy, punkty kierunkowe oraz początkowy i końcowy punkt trasy.</w:t>
      </w:r>
    </w:p>
    <w:p w14:paraId="514BA788" w14:textId="77777777" w:rsidR="00124FE8" w:rsidRDefault="00124FE8" w:rsidP="00124FE8">
      <w:pPr>
        <w:tabs>
          <w:tab w:val="left" w:pos="772"/>
        </w:tabs>
        <w:jc w:val="both"/>
        <w:rPr>
          <w:rFonts w:ascii="Bookman Old Style" w:hAnsi="Bookman Old Style"/>
          <w:sz w:val="20"/>
        </w:rPr>
      </w:pPr>
      <w:r w:rsidRPr="00343F2B">
        <w:rPr>
          <w:rFonts w:ascii="Bookman Old Style" w:hAnsi="Bookman Old Style"/>
          <w:b/>
          <w:sz w:val="20"/>
        </w:rPr>
        <w:t xml:space="preserve">1.4.2. </w:t>
      </w:r>
      <w:r w:rsidRPr="00343F2B">
        <w:rPr>
          <w:rFonts w:ascii="Bookman Old Style" w:hAnsi="Bookman Old Style"/>
          <w:sz w:val="20"/>
        </w:rPr>
        <w:t>Pozostałe określenia są zgodne z obowiązującymi, odpowiednimi polskimi normami, wytycznymi i określeniami podanymi w STWiORB D-00.00.00. „Wymagania ogólne” pkt 1.4.</w:t>
      </w:r>
    </w:p>
    <w:p w14:paraId="443A0E0D" w14:textId="019EFE2B" w:rsidR="00713DDD" w:rsidRPr="00343F2B" w:rsidRDefault="00713DDD" w:rsidP="00124FE8">
      <w:pPr>
        <w:tabs>
          <w:tab w:val="left" w:pos="772"/>
        </w:tabs>
        <w:jc w:val="both"/>
        <w:rPr>
          <w:rFonts w:ascii="Bookman Old Style" w:hAnsi="Bookman Old Style"/>
          <w:sz w:val="20"/>
        </w:rPr>
      </w:pPr>
      <w:r w:rsidRPr="00343F2B">
        <w:rPr>
          <w:rFonts w:ascii="Bookman Old Style" w:hAnsi="Bookman Old Style"/>
          <w:b/>
          <w:sz w:val="20"/>
        </w:rPr>
        <w:t>1.4.</w:t>
      </w:r>
      <w:r>
        <w:rPr>
          <w:rFonts w:ascii="Bookman Old Style" w:hAnsi="Bookman Old Style"/>
          <w:b/>
          <w:sz w:val="20"/>
        </w:rPr>
        <w:t>3</w:t>
      </w:r>
      <w:r w:rsidRPr="00343F2B">
        <w:rPr>
          <w:rFonts w:ascii="Bookman Old Style" w:hAnsi="Bookman Old Style"/>
          <w:b/>
          <w:sz w:val="20"/>
        </w:rPr>
        <w:t xml:space="preserve">. </w:t>
      </w:r>
      <w:r w:rsidRPr="00713DDD">
        <w:rPr>
          <w:rFonts w:ascii="Bookman Old Style" w:hAnsi="Bookman Old Style"/>
          <w:sz w:val="20"/>
        </w:rPr>
        <w:t>Świadki znaków granicznych „Pas Drogowy” (żelbetowe) – słupy do oznaczenia punktów granicznych pasa drogowego</w:t>
      </w:r>
    </w:p>
    <w:p w14:paraId="5E66E160"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1.5. Ogólne wymagania dotyczące robót</w:t>
      </w:r>
    </w:p>
    <w:p w14:paraId="2BE0F8F7" w14:textId="77777777" w:rsidR="00124FE8" w:rsidRPr="00343F2B" w:rsidRDefault="00124FE8" w:rsidP="00124FE8">
      <w:pPr>
        <w:pStyle w:val="Tekstpodstawowy3"/>
        <w:rPr>
          <w:rFonts w:ascii="Bookman Old Style" w:hAnsi="Bookman Old Style"/>
          <w:sz w:val="20"/>
        </w:rPr>
      </w:pPr>
      <w:r w:rsidRPr="00343F2B">
        <w:rPr>
          <w:rFonts w:ascii="Bookman Old Style" w:hAnsi="Bookman Old Style"/>
          <w:sz w:val="20"/>
        </w:rPr>
        <w:t>Ogólne wymagania dotyczące robót podano w STWiORB D-00.00.00. „Wymagania ogólne" pkt. 1.5.</w:t>
      </w:r>
    </w:p>
    <w:p w14:paraId="70BBF471"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2. MATERIAŁY</w:t>
      </w:r>
    </w:p>
    <w:p w14:paraId="759D95A6"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2.1. Wymagania ogólne</w:t>
      </w:r>
    </w:p>
    <w:p w14:paraId="3982F239" w14:textId="77777777" w:rsidR="00124FE8" w:rsidRPr="00343F2B" w:rsidRDefault="00124FE8" w:rsidP="00124FE8">
      <w:pPr>
        <w:pStyle w:val="Tekstpodstawowy2"/>
        <w:spacing w:line="240" w:lineRule="auto"/>
        <w:jc w:val="both"/>
        <w:rPr>
          <w:rFonts w:ascii="Bookman Old Style" w:hAnsi="Bookman Old Style"/>
          <w:sz w:val="20"/>
          <w:lang w:val="pl-PL"/>
        </w:rPr>
      </w:pPr>
      <w:r w:rsidRPr="00343F2B">
        <w:rPr>
          <w:rFonts w:ascii="Bookman Old Style" w:hAnsi="Bookman Old Style"/>
          <w:sz w:val="20"/>
          <w:lang w:val="pl-PL"/>
        </w:rPr>
        <w:t>Ogólne wymagania dotyczące materiałów podano w STWiORB D-00.00.00. „Wymagania ogólne” pkt. 2.</w:t>
      </w:r>
    </w:p>
    <w:p w14:paraId="6F93445A" w14:textId="77777777" w:rsidR="00124FE8" w:rsidRPr="00343F2B" w:rsidRDefault="00124FE8" w:rsidP="00124FE8">
      <w:pPr>
        <w:jc w:val="both"/>
        <w:rPr>
          <w:rFonts w:ascii="Bookman Old Style" w:hAnsi="Bookman Old Style"/>
          <w:sz w:val="20"/>
        </w:rPr>
      </w:pPr>
      <w:r w:rsidRPr="00343F2B">
        <w:rPr>
          <w:rFonts w:ascii="Bookman Old Style" w:hAnsi="Bookman Old Style"/>
          <w:b/>
          <w:sz w:val="20"/>
        </w:rPr>
        <w:t>2.1.1. Materiały do wyznaczenia trasy drogowej</w:t>
      </w:r>
    </w:p>
    <w:p w14:paraId="7FB2341E"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Do utrwalenia punktów głównych trasy i reperów roboczych należy stosować pale drewniane z gwoździem lub trzpienie stalowe (stabilizacja punktów w istniejącej nawierzchni), słupki betonowe albo rury metalowe o długości około 0,50 m. Pale drewniane umieszczone </w:t>
      </w:r>
      <w:r w:rsidRPr="00343F2B">
        <w:rPr>
          <w:rFonts w:ascii="Bookman Old Style" w:hAnsi="Bookman Old Style"/>
          <w:sz w:val="20"/>
        </w:rPr>
        <w:br/>
        <w:t>w sąsiedztwie punktów załamania trasy w czasie ich stabilizacji powinny mieć średnicę 0,15-0,20 m i długości 1,5-1,7 m.</w:t>
      </w:r>
    </w:p>
    <w:p w14:paraId="728653D0" w14:textId="77777777" w:rsidR="00124FE8" w:rsidRPr="00343F2B" w:rsidRDefault="00124FE8" w:rsidP="00124FE8">
      <w:pPr>
        <w:pStyle w:val="tekstost"/>
        <w:rPr>
          <w:rFonts w:ascii="Bookman Old Style" w:hAnsi="Bookman Old Style"/>
        </w:rPr>
      </w:pPr>
      <w:r w:rsidRPr="00343F2B">
        <w:rPr>
          <w:rFonts w:ascii="Bookman Old Style" w:hAnsi="Bookman Old Style"/>
        </w:rPr>
        <w:t xml:space="preserve">Do stabilizacji pozostałych punktów należy stosować szpilki stalowe i paliki drewniane </w:t>
      </w:r>
      <w:r w:rsidRPr="00343F2B">
        <w:rPr>
          <w:rFonts w:ascii="Bookman Old Style" w:hAnsi="Bookman Old Style"/>
        </w:rPr>
        <w:br/>
        <w:t>o długości około 0,30m i średnicy 50-80 mm. Świadki wbijane obok palików osiowych powinny mieć długość około 0.50 m i przekrój prostokątny.</w:t>
      </w:r>
    </w:p>
    <w:p w14:paraId="264A4894"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3. SPRZĘT</w:t>
      </w:r>
    </w:p>
    <w:p w14:paraId="0ACF0C8B"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3.1. Wymagania ogólne</w:t>
      </w:r>
    </w:p>
    <w:p w14:paraId="4420DB81" w14:textId="77777777" w:rsidR="00124FE8" w:rsidRPr="00343F2B" w:rsidRDefault="00124FE8" w:rsidP="00124FE8">
      <w:pPr>
        <w:pStyle w:val="Tekstpodstawowy3"/>
        <w:rPr>
          <w:rFonts w:ascii="Bookman Old Style" w:hAnsi="Bookman Old Style"/>
          <w:sz w:val="20"/>
        </w:rPr>
      </w:pPr>
      <w:r w:rsidRPr="00343F2B">
        <w:rPr>
          <w:rFonts w:ascii="Bookman Old Style" w:hAnsi="Bookman Old Style"/>
          <w:sz w:val="20"/>
        </w:rPr>
        <w:t>Ogólne wymagania dotyczące sprzętu podano w STWiORB D-00.00.00. "Wymagania ogólne" pkt. 3.</w:t>
      </w:r>
    </w:p>
    <w:p w14:paraId="3B91C7BE"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3.2. Sprzęt do robót pomiarowych</w:t>
      </w:r>
    </w:p>
    <w:p w14:paraId="62A8A2BB"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Do wykonania robót konieczny jest sprzęt geodezyjny taki jak:</w:t>
      </w:r>
    </w:p>
    <w:p w14:paraId="7A77D08C"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teodolity lub tachimetry,</w:t>
      </w:r>
    </w:p>
    <w:p w14:paraId="61888B49"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niwelatory,</w:t>
      </w:r>
    </w:p>
    <w:p w14:paraId="4E54563F"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dalmierze,</w:t>
      </w:r>
    </w:p>
    <w:p w14:paraId="147D89DA"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tyczki,</w:t>
      </w:r>
    </w:p>
    <w:p w14:paraId="2F1E374E"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lastRenderedPageBreak/>
        <w:t>łaty,</w:t>
      </w:r>
    </w:p>
    <w:p w14:paraId="353C6D46"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taśmy stalowe i parciane.</w:t>
      </w:r>
    </w:p>
    <w:p w14:paraId="6A38EA46"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Sprzęt stosowany do odtworzenia trasy i punktów głównych powinien gwarantować uzyskanie wymaganej dokładności pomiaru.</w:t>
      </w:r>
    </w:p>
    <w:p w14:paraId="24806316"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4. TRANSPORT</w:t>
      </w:r>
    </w:p>
    <w:p w14:paraId="6C660CCB"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4.1. Wymagania ogólne</w:t>
      </w:r>
    </w:p>
    <w:p w14:paraId="2205C4BB"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Ogólne wymagania dotyczące transportu podano w STWiORB D-00.00.00. "Wymagania ogólne" pkt. 4.</w:t>
      </w:r>
    </w:p>
    <w:p w14:paraId="5258EC82" w14:textId="77777777" w:rsidR="00124FE8" w:rsidRPr="00343F2B" w:rsidRDefault="00124FE8" w:rsidP="00124FE8">
      <w:pPr>
        <w:jc w:val="both"/>
        <w:rPr>
          <w:rFonts w:ascii="Bookman Old Style" w:hAnsi="Bookman Old Style"/>
          <w:b/>
          <w:sz w:val="20"/>
          <w:u w:val="single"/>
        </w:rPr>
      </w:pPr>
    </w:p>
    <w:p w14:paraId="3876285E"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4.2. Wymagania dla transportu</w:t>
      </w:r>
    </w:p>
    <w:p w14:paraId="27F782A1"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sz w:val="20"/>
        </w:rPr>
        <w:t xml:space="preserve">Transport sprzętu geodezyjnego oraz materiałów potrzebnych do stabilizacji osi trasy </w:t>
      </w:r>
      <w:r w:rsidRPr="00343F2B">
        <w:rPr>
          <w:rFonts w:ascii="Bookman Old Style" w:hAnsi="Bookman Old Style"/>
          <w:sz w:val="20"/>
        </w:rPr>
        <w:br/>
        <w:t>i wyznaczenia zakresu robót może odbywać się dowolnymi środkami transportowymi.</w:t>
      </w:r>
    </w:p>
    <w:p w14:paraId="5D5B2437"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5. WYKONANIE ROBÓT</w:t>
      </w:r>
    </w:p>
    <w:p w14:paraId="0C8947FF"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5.1. Ogólne zasady wykonania robót</w:t>
      </w:r>
    </w:p>
    <w:p w14:paraId="099BB857"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Ogólne zasady wykonania robót podano w STWiORB D-00.00.00. "Wymagania ogólne pkt. 5.</w:t>
      </w:r>
    </w:p>
    <w:p w14:paraId="35FB85A6"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Prace pomiarowe powinny być wykonane zgodnie z obowiązującymi Instrukcjami GUGiK.</w:t>
      </w:r>
    </w:p>
    <w:p w14:paraId="0D42F2F2" w14:textId="45384991"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Wszelkie prace pomiarowe związane z realizacją robót należą do obowiązków Wykonawcy. </w:t>
      </w:r>
    </w:p>
    <w:p w14:paraId="5C6EE5E2"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Prace pomiarowe powinny być wykonane przez osoby posiadające odpowiednie kwalifikacje </w:t>
      </w:r>
      <w:r w:rsidRPr="00343F2B">
        <w:rPr>
          <w:rFonts w:ascii="Bookman Old Style" w:hAnsi="Bookman Old Style"/>
          <w:sz w:val="20"/>
        </w:rPr>
        <w:br/>
        <w:t>i uprawnienia. Wykonawca ponosi odpowiedzialność za następstwa niezgodności wykonanych robót z Dokumentacją Projektową oraz niniejszymi STWiORB.</w:t>
      </w:r>
    </w:p>
    <w:p w14:paraId="2576033E"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Wykonawca jest odpowiedzialny za ochronę wszystkich punktów pomiarowych (w tym punktów referencyjnych) i ich oznaczeń w czasie trwania robót, a w przypadku ich zniszczenia muszą być odtworzone na koszt Wykonawcy.</w:t>
      </w:r>
    </w:p>
    <w:p w14:paraId="3B6729D4"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5.2. Sprawdzenie wyznaczenia punktów głównych osi trasy</w:t>
      </w:r>
    </w:p>
    <w:p w14:paraId="7FBC8EB7"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Punkty wierzchołkowe trasy i inne punkty główne do tyczenia powinny być zastabilizowane w sposób trwały, przy użyciu pali drewnianych lub trzpieni stalowych a także dowiązane do punktów pomocniczych, położonych poza granicą robót ziemnych. Maksymalna odległość pomiędzy punktami głównymi na odcinkach prostych nie może przekraczać 500 m.</w:t>
      </w:r>
    </w:p>
    <w:p w14:paraId="7FBC077A"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Maksymalna odległość pomiędzy reperami roboczymi wzdłuż trasy drogowej w terenie płaskim powinna wynosić 500 m.</w:t>
      </w:r>
    </w:p>
    <w:p w14:paraId="6B77BD0B"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Reper roboczy należy założyć poza granicami robót związanych z wykonaniem trasy drogowej i obiektów towarzyszących. Jako repery robocze można wykorzystać punkty stałe na stabilnych, istniejących budowlach wzdłuż trasy drogowej. </w:t>
      </w:r>
    </w:p>
    <w:p w14:paraId="6B9C3439"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Rzędne repera należy określić z dokładnością do 0.4 cm/km stosując niwelację podwójną </w:t>
      </w:r>
      <w:r w:rsidRPr="00343F2B">
        <w:rPr>
          <w:rFonts w:ascii="Bookman Old Style" w:hAnsi="Bookman Old Style"/>
          <w:sz w:val="20"/>
        </w:rPr>
        <w:br/>
        <w:t>w nawiązaniu do reperów państwowych.</w:t>
      </w:r>
    </w:p>
    <w:p w14:paraId="628C57D4"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Repery robocze powinny być wyposażone w dodatkowe oznaczenia, zawierające wyraźne </w:t>
      </w:r>
      <w:r w:rsidRPr="00343F2B">
        <w:rPr>
          <w:rFonts w:ascii="Bookman Old Style" w:hAnsi="Bookman Old Style"/>
          <w:sz w:val="20"/>
        </w:rPr>
        <w:br/>
        <w:t xml:space="preserve">i jednoznaczne określenie nazwy repera i jego rzędnej. </w:t>
      </w:r>
    </w:p>
    <w:p w14:paraId="3D125A39"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5.3. Wyznaczenie osi trasy</w:t>
      </w:r>
    </w:p>
    <w:p w14:paraId="041C205E"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Tyczenie osi trasy należy wykonać w oparciu o Dokumentację Projektową.</w:t>
      </w:r>
    </w:p>
    <w:p w14:paraId="46125997"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Oś trasy powinna być wyznaczona w punktach głównych i w punktach pośrednich </w:t>
      </w:r>
      <w:r w:rsidRPr="00343F2B">
        <w:rPr>
          <w:rFonts w:ascii="Bookman Old Style" w:hAnsi="Bookman Old Style"/>
          <w:sz w:val="20"/>
        </w:rPr>
        <w:br/>
        <w:t>w odległości zależnej od charakterystyki terenu i ukształtowania trasy.</w:t>
      </w:r>
    </w:p>
    <w:p w14:paraId="4903CC79" w14:textId="1387590E" w:rsidR="00124FE8" w:rsidRPr="00343F2B" w:rsidRDefault="00124FE8" w:rsidP="00124FE8">
      <w:pPr>
        <w:jc w:val="both"/>
        <w:rPr>
          <w:rFonts w:ascii="Bookman Old Style" w:hAnsi="Bookman Old Style"/>
          <w:sz w:val="20"/>
        </w:rPr>
      </w:pPr>
      <w:r w:rsidRPr="00343F2B">
        <w:rPr>
          <w:rFonts w:ascii="Bookman Old Style" w:hAnsi="Bookman Old Style"/>
          <w:sz w:val="20"/>
        </w:rPr>
        <w:t>Dopuszczalne odchylenie sytuacyjne wytyczonej osi trasy w stosunku do Dokumentacji Projektowej nie może być więks</w:t>
      </w:r>
      <w:r w:rsidR="00BA7E91">
        <w:rPr>
          <w:rFonts w:ascii="Bookman Old Style" w:hAnsi="Bookman Old Style"/>
          <w:sz w:val="20"/>
        </w:rPr>
        <w:t xml:space="preserve">ze niż </w:t>
      </w:r>
      <w:r w:rsidRPr="00343F2B">
        <w:rPr>
          <w:rFonts w:ascii="Bookman Old Style" w:hAnsi="Bookman Old Style"/>
          <w:sz w:val="20"/>
        </w:rPr>
        <w:t xml:space="preserve"> </w:t>
      </w:r>
      <w:r w:rsidR="00BA7E91">
        <w:rPr>
          <w:rFonts w:ascii="Bookman Old Style" w:hAnsi="Bookman Old Style"/>
          <w:sz w:val="20"/>
        </w:rPr>
        <w:t>10</w:t>
      </w:r>
      <w:r w:rsidRPr="00343F2B">
        <w:rPr>
          <w:rFonts w:ascii="Bookman Old Style" w:hAnsi="Bookman Old Style"/>
          <w:sz w:val="20"/>
        </w:rPr>
        <w:t xml:space="preserve">cm. Rzędne punktów osi trasy należy wyznaczyć </w:t>
      </w:r>
      <w:r w:rsidRPr="00343F2B">
        <w:rPr>
          <w:rFonts w:ascii="Bookman Old Style" w:hAnsi="Bookman Old Style"/>
          <w:sz w:val="20"/>
        </w:rPr>
        <w:br/>
        <w:t>z dokładnością do 1 cm w stosunku do rzędnych określonych w Dokumentacji Projektowej.</w:t>
      </w:r>
    </w:p>
    <w:p w14:paraId="31C816E6"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Do utrwalenia osi trasy w terenie należy użyć odpowiednich pali drewnianych lub trzpieni stalowych, których usunięcie dopuszczalne jest wówczas, gdy Wykonawca robót zastąpi je odpowiednimi palami po obu stronach osi, umieszczonymi poza granicą robót.</w:t>
      </w:r>
    </w:p>
    <w:p w14:paraId="2F189106"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6. KONTROLA JAKOŚCI ROBÓT</w:t>
      </w:r>
    </w:p>
    <w:p w14:paraId="5C805FBF"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6.1. Ogólne zasady kontroli jakości robót</w:t>
      </w:r>
    </w:p>
    <w:p w14:paraId="43E60568"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Ogólne zasady kontroli jakości robót podano w STWiORB D-00.00.00. "Wymagania ogólne" pkt. 6.</w:t>
      </w:r>
    </w:p>
    <w:p w14:paraId="6A6A2EDC"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Kontrolę jakości prac pomiarowych związanych z odtworzeniem trasy i punktów wysokościowych należy prowadzić według ogólnych zasad określonych w instrukcjach </w:t>
      </w:r>
      <w:r w:rsidRPr="00343F2B">
        <w:rPr>
          <w:rFonts w:ascii="Bookman Old Style" w:hAnsi="Bookman Old Style"/>
          <w:sz w:val="20"/>
        </w:rPr>
        <w:br/>
        <w:t>i wytycznych GUGiK.</w:t>
      </w:r>
    </w:p>
    <w:p w14:paraId="0694A416"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7. OBMIAR ROBÓT</w:t>
      </w:r>
    </w:p>
    <w:p w14:paraId="0F67A4A1"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lastRenderedPageBreak/>
        <w:t>7.1. Ogólne zasady obmiaru robót</w:t>
      </w:r>
    </w:p>
    <w:p w14:paraId="162376A7"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Ogólne zasady obmiaru robót podano w STWiORB D-00.00.00. " Wymagania ogólne" pkt. 7.</w:t>
      </w:r>
    </w:p>
    <w:p w14:paraId="698BA70D"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7.2.Jednostka obmiarowa</w:t>
      </w:r>
    </w:p>
    <w:p w14:paraId="2D949B61"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Jednostką obmiarową robót związanych z wyznaczeniem i odtworzeniem trasy w terenie jest kompleksowe wykonanie niezbędnych prac geodezyjnych w wymienionym zakresie (kpl). </w:t>
      </w:r>
    </w:p>
    <w:p w14:paraId="3919A32B"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 xml:space="preserve">Jednostką obmiarową robót związanych z odtworzeniem reperów wysokościowych w terenie jest kilometr [km.]. </w:t>
      </w:r>
    </w:p>
    <w:p w14:paraId="279574AD"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8. ODBIÓR ROBÓT</w:t>
      </w:r>
    </w:p>
    <w:p w14:paraId="2BA9D256"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8.1. Ogólne zasady odbioru robót</w:t>
      </w:r>
    </w:p>
    <w:p w14:paraId="2CF6FDA4" w14:textId="0C15F1DC" w:rsidR="00124FE8" w:rsidRPr="00343F2B" w:rsidRDefault="00124FE8" w:rsidP="00124FE8">
      <w:pPr>
        <w:jc w:val="both"/>
        <w:rPr>
          <w:rFonts w:ascii="Bookman Old Style" w:hAnsi="Bookman Old Style"/>
          <w:sz w:val="20"/>
        </w:rPr>
      </w:pPr>
      <w:r w:rsidRPr="00343F2B">
        <w:rPr>
          <w:rFonts w:ascii="Bookman Old Style" w:hAnsi="Bookman Old Style"/>
          <w:sz w:val="20"/>
        </w:rPr>
        <w:t>Ogólne zasady odbioru robót podano w STWiOR</w:t>
      </w:r>
      <w:r w:rsidR="00592AB0">
        <w:rPr>
          <w:rFonts w:ascii="Bookman Old Style" w:hAnsi="Bookman Old Style"/>
          <w:sz w:val="20"/>
        </w:rPr>
        <w:t>BD-00.00.00. "Wymagania ogólne".</w:t>
      </w:r>
    </w:p>
    <w:p w14:paraId="5BD0897F"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9. PODSTAWA PŁATNOŚCI</w:t>
      </w:r>
    </w:p>
    <w:p w14:paraId="6A37C0F9"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9.1. Ogólne ustalenia dotyczące podstaw płatności</w:t>
      </w:r>
    </w:p>
    <w:p w14:paraId="77F3099D"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Ogólne ustalenia dotyczące podstaw płatności podano w STWiORB D-00.00.00. "Wymagania ogólne" pkt. 9.</w:t>
      </w:r>
    </w:p>
    <w:p w14:paraId="41C4C139" w14:textId="77777777" w:rsidR="00124FE8" w:rsidRPr="00343F2B" w:rsidRDefault="00124FE8" w:rsidP="00124FE8">
      <w:pPr>
        <w:jc w:val="both"/>
        <w:rPr>
          <w:rFonts w:ascii="Bookman Old Style" w:hAnsi="Bookman Old Style"/>
          <w:b/>
          <w:sz w:val="20"/>
          <w:u w:val="single"/>
        </w:rPr>
      </w:pPr>
      <w:r w:rsidRPr="00343F2B">
        <w:rPr>
          <w:rFonts w:ascii="Bookman Old Style" w:hAnsi="Bookman Old Style"/>
          <w:b/>
          <w:sz w:val="20"/>
          <w:u w:val="single"/>
        </w:rPr>
        <w:t>9.2. Cena jednostki obmiarowej</w:t>
      </w:r>
    </w:p>
    <w:p w14:paraId="343584D8" w14:textId="77777777" w:rsidR="00124FE8" w:rsidRPr="00343F2B" w:rsidRDefault="00124FE8" w:rsidP="00124FE8">
      <w:pPr>
        <w:jc w:val="both"/>
        <w:rPr>
          <w:rFonts w:ascii="Bookman Old Style" w:hAnsi="Bookman Old Style"/>
          <w:sz w:val="20"/>
        </w:rPr>
      </w:pPr>
      <w:r w:rsidRPr="00343F2B">
        <w:rPr>
          <w:rFonts w:ascii="Bookman Old Style" w:hAnsi="Bookman Old Style"/>
          <w:sz w:val="20"/>
        </w:rPr>
        <w:t>Cena obejmuje:</w:t>
      </w:r>
    </w:p>
    <w:p w14:paraId="043623D8"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roboty przygotowawcze,</w:t>
      </w:r>
    </w:p>
    <w:p w14:paraId="2C09D2FD"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wyznaczenie punktów głównych osi trasy,</w:t>
      </w:r>
    </w:p>
    <w:p w14:paraId="0FEFEC42"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uzupełnienie osi trasy dodatkowymi punktami,</w:t>
      </w:r>
    </w:p>
    <w:p w14:paraId="02476A3C"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wyznaczenie i odtworzenie reperów roboczych,</w:t>
      </w:r>
    </w:p>
    <w:p w14:paraId="439B75B7"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wykonanie pomiarów bieżących w miarę postępu robót, zgodnie z Dokumentacją Projektową,</w:t>
      </w:r>
    </w:p>
    <w:p w14:paraId="3DFFD180" w14:textId="77777777" w:rsidR="00124FE8" w:rsidRPr="00343F2B" w:rsidRDefault="00124FE8" w:rsidP="00124FE8">
      <w:pPr>
        <w:numPr>
          <w:ilvl w:val="1"/>
          <w:numId w:val="1"/>
        </w:numPr>
        <w:tabs>
          <w:tab w:val="clear" w:pos="502"/>
          <w:tab w:val="num" w:pos="284"/>
        </w:tabs>
        <w:ind w:left="284" w:hanging="284"/>
        <w:jc w:val="both"/>
        <w:rPr>
          <w:rFonts w:ascii="Bookman Old Style" w:hAnsi="Bookman Old Style"/>
          <w:sz w:val="20"/>
        </w:rPr>
      </w:pPr>
      <w:r w:rsidRPr="00343F2B">
        <w:rPr>
          <w:rFonts w:ascii="Bookman Old Style" w:hAnsi="Bookman Old Style"/>
          <w:sz w:val="20"/>
        </w:rPr>
        <w:t xml:space="preserve">zastabilizowanie punktów w sposób trwały, ochrona ich przed zniszczeniem </w:t>
      </w:r>
      <w:r w:rsidRPr="00343F2B">
        <w:rPr>
          <w:rFonts w:ascii="Bookman Old Style" w:hAnsi="Bookman Old Style"/>
          <w:sz w:val="20"/>
        </w:rPr>
        <w:br/>
        <w:t>i oznakowanie ułatwiające odszukanie i ewentualne odtworzenie,</w:t>
      </w:r>
    </w:p>
    <w:p w14:paraId="5C5D5280" w14:textId="77777777" w:rsidR="00124FE8" w:rsidRPr="00343F2B" w:rsidRDefault="00124FE8" w:rsidP="00124FE8">
      <w:pPr>
        <w:spacing w:before="240"/>
        <w:jc w:val="both"/>
        <w:rPr>
          <w:rFonts w:ascii="Bookman Old Style" w:hAnsi="Bookman Old Style"/>
          <w:b/>
          <w:sz w:val="20"/>
        </w:rPr>
      </w:pPr>
      <w:r w:rsidRPr="00343F2B">
        <w:rPr>
          <w:rFonts w:ascii="Bookman Old Style" w:hAnsi="Bookman Old Style"/>
          <w:b/>
          <w:sz w:val="20"/>
        </w:rPr>
        <w:t>10. PRZEPISY ZWIĄZANE</w:t>
      </w:r>
    </w:p>
    <w:tbl>
      <w:tblPr>
        <w:tblW w:w="0" w:type="auto"/>
        <w:tblInd w:w="70" w:type="dxa"/>
        <w:tblLayout w:type="fixed"/>
        <w:tblCellMar>
          <w:left w:w="70" w:type="dxa"/>
          <w:right w:w="70" w:type="dxa"/>
        </w:tblCellMar>
        <w:tblLook w:val="0000" w:firstRow="0" w:lastRow="0" w:firstColumn="0" w:lastColumn="0" w:noHBand="0" w:noVBand="0"/>
      </w:tblPr>
      <w:tblGrid>
        <w:gridCol w:w="227"/>
        <w:gridCol w:w="2473"/>
        <w:gridCol w:w="6643"/>
      </w:tblGrid>
      <w:tr w:rsidR="00124FE8" w:rsidRPr="00343F2B" w14:paraId="7CF7451A" w14:textId="77777777" w:rsidTr="00E37152">
        <w:tc>
          <w:tcPr>
            <w:tcW w:w="227" w:type="dxa"/>
          </w:tcPr>
          <w:p w14:paraId="0332D7D0"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1.</w:t>
            </w:r>
          </w:p>
        </w:tc>
        <w:tc>
          <w:tcPr>
            <w:tcW w:w="2473" w:type="dxa"/>
          </w:tcPr>
          <w:p w14:paraId="508DFBD6" w14:textId="77777777" w:rsidR="00124FE8" w:rsidRPr="00343F2B" w:rsidRDefault="00124FE8" w:rsidP="00E37152">
            <w:pPr>
              <w:pStyle w:val="Tekstpodstawowy"/>
              <w:tabs>
                <w:tab w:val="left" w:pos="2700"/>
              </w:tabs>
              <w:ind w:left="6"/>
              <w:jc w:val="both"/>
              <w:rPr>
                <w:rFonts w:ascii="Bookman Old Style" w:hAnsi="Bookman Old Style"/>
                <w:b w:val="0"/>
                <w:color w:val="auto"/>
                <w:sz w:val="20"/>
              </w:rPr>
            </w:pPr>
            <w:r w:rsidRPr="00343F2B">
              <w:rPr>
                <w:rFonts w:ascii="Bookman Old Style" w:hAnsi="Bookman Old Style"/>
                <w:b w:val="0"/>
                <w:color w:val="auto"/>
                <w:sz w:val="20"/>
              </w:rPr>
              <w:t>Instrukcja techniczna 0-1.</w:t>
            </w:r>
          </w:p>
        </w:tc>
        <w:tc>
          <w:tcPr>
            <w:tcW w:w="6643" w:type="dxa"/>
          </w:tcPr>
          <w:p w14:paraId="72032033"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Ogólne zasady wykonywania prac geodezyjnych</w:t>
            </w:r>
          </w:p>
        </w:tc>
      </w:tr>
      <w:tr w:rsidR="00124FE8" w:rsidRPr="00343F2B" w14:paraId="2F25471A" w14:textId="77777777" w:rsidTr="00E37152">
        <w:tc>
          <w:tcPr>
            <w:tcW w:w="227" w:type="dxa"/>
          </w:tcPr>
          <w:p w14:paraId="3522EAF6"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2.</w:t>
            </w:r>
          </w:p>
        </w:tc>
        <w:tc>
          <w:tcPr>
            <w:tcW w:w="2473" w:type="dxa"/>
          </w:tcPr>
          <w:p w14:paraId="179CA43B" w14:textId="77777777" w:rsidR="00124FE8" w:rsidRPr="00343F2B" w:rsidRDefault="00124FE8" w:rsidP="00E37152">
            <w:pPr>
              <w:pStyle w:val="Tekstkomentarza"/>
              <w:ind w:left="6"/>
              <w:jc w:val="both"/>
              <w:rPr>
                <w:rFonts w:ascii="Bookman Old Style" w:hAnsi="Bookman Old Style"/>
                <w:b/>
              </w:rPr>
            </w:pPr>
            <w:r w:rsidRPr="00343F2B">
              <w:rPr>
                <w:rFonts w:ascii="Bookman Old Style" w:hAnsi="Bookman Old Style"/>
              </w:rPr>
              <w:t>Instrukcja techniczna G-1.</w:t>
            </w:r>
          </w:p>
        </w:tc>
        <w:tc>
          <w:tcPr>
            <w:tcW w:w="6643" w:type="dxa"/>
          </w:tcPr>
          <w:p w14:paraId="6F551C22" w14:textId="77777777" w:rsidR="00124FE8" w:rsidRPr="00343F2B" w:rsidRDefault="00124FE8" w:rsidP="00E37152">
            <w:pPr>
              <w:pStyle w:val="Tekstkomentarza"/>
              <w:ind w:left="-70"/>
              <w:jc w:val="both"/>
              <w:rPr>
                <w:rFonts w:ascii="Bookman Old Style" w:hAnsi="Bookman Old Style"/>
                <w:b/>
              </w:rPr>
            </w:pPr>
            <w:r w:rsidRPr="00343F2B">
              <w:rPr>
                <w:rFonts w:ascii="Bookman Old Style" w:hAnsi="Bookman Old Style"/>
              </w:rPr>
              <w:t>Geodezyjna osnowa pozioma. GUGiK, 1978</w:t>
            </w:r>
          </w:p>
        </w:tc>
      </w:tr>
      <w:tr w:rsidR="00124FE8" w:rsidRPr="00343F2B" w14:paraId="29BF5374" w14:textId="77777777" w:rsidTr="00E37152">
        <w:tc>
          <w:tcPr>
            <w:tcW w:w="227" w:type="dxa"/>
          </w:tcPr>
          <w:p w14:paraId="442588F0"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3.</w:t>
            </w:r>
          </w:p>
        </w:tc>
        <w:tc>
          <w:tcPr>
            <w:tcW w:w="2473" w:type="dxa"/>
          </w:tcPr>
          <w:p w14:paraId="6F032684" w14:textId="77777777" w:rsidR="00124FE8" w:rsidRPr="00343F2B" w:rsidRDefault="00124FE8" w:rsidP="00E37152">
            <w:pPr>
              <w:pStyle w:val="Tekstkomentarza"/>
              <w:ind w:left="6"/>
              <w:jc w:val="both"/>
              <w:rPr>
                <w:rFonts w:ascii="Bookman Old Style" w:hAnsi="Bookman Old Style"/>
                <w:b/>
              </w:rPr>
            </w:pPr>
            <w:r w:rsidRPr="00343F2B">
              <w:rPr>
                <w:rFonts w:ascii="Bookman Old Style" w:hAnsi="Bookman Old Style"/>
              </w:rPr>
              <w:t>Instrukcja techniczna G-2.</w:t>
            </w:r>
          </w:p>
        </w:tc>
        <w:tc>
          <w:tcPr>
            <w:tcW w:w="6643" w:type="dxa"/>
          </w:tcPr>
          <w:p w14:paraId="66E99328" w14:textId="77777777" w:rsidR="00124FE8" w:rsidRPr="00343F2B" w:rsidRDefault="00124FE8" w:rsidP="00E37152">
            <w:pPr>
              <w:pStyle w:val="Tekstkomentarza"/>
              <w:ind w:left="-70"/>
              <w:jc w:val="both"/>
              <w:rPr>
                <w:rFonts w:ascii="Bookman Old Style" w:hAnsi="Bookman Old Style"/>
              </w:rPr>
            </w:pPr>
            <w:r w:rsidRPr="00343F2B">
              <w:rPr>
                <w:rFonts w:ascii="Bookman Old Style" w:hAnsi="Bookman Old Style"/>
              </w:rPr>
              <w:t>Wysokościowa osnowa geodezyjna, GUGiK 1983</w:t>
            </w:r>
          </w:p>
        </w:tc>
      </w:tr>
      <w:tr w:rsidR="00124FE8" w:rsidRPr="00343F2B" w14:paraId="1BB7BB26" w14:textId="77777777" w:rsidTr="00E37152">
        <w:tc>
          <w:tcPr>
            <w:tcW w:w="227" w:type="dxa"/>
          </w:tcPr>
          <w:p w14:paraId="2BF14E87"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4.</w:t>
            </w:r>
          </w:p>
        </w:tc>
        <w:tc>
          <w:tcPr>
            <w:tcW w:w="2473" w:type="dxa"/>
          </w:tcPr>
          <w:p w14:paraId="635E4C29" w14:textId="77777777" w:rsidR="00124FE8" w:rsidRPr="00343F2B" w:rsidRDefault="00124FE8" w:rsidP="00E37152">
            <w:pPr>
              <w:pStyle w:val="Tekstkomentarza"/>
              <w:jc w:val="both"/>
              <w:rPr>
                <w:rFonts w:ascii="Bookman Old Style" w:hAnsi="Bookman Old Style"/>
                <w:b/>
              </w:rPr>
            </w:pPr>
            <w:r w:rsidRPr="00343F2B">
              <w:rPr>
                <w:rFonts w:ascii="Bookman Old Style" w:hAnsi="Bookman Old Style"/>
              </w:rPr>
              <w:t>Instrukcja techniczna G-3.</w:t>
            </w:r>
          </w:p>
        </w:tc>
        <w:tc>
          <w:tcPr>
            <w:tcW w:w="6643" w:type="dxa"/>
          </w:tcPr>
          <w:p w14:paraId="339CA6CC" w14:textId="77777777" w:rsidR="00124FE8" w:rsidRPr="00343F2B" w:rsidRDefault="00124FE8" w:rsidP="00E37152">
            <w:pPr>
              <w:ind w:left="-70"/>
              <w:jc w:val="both"/>
              <w:rPr>
                <w:rFonts w:ascii="Bookman Old Style" w:hAnsi="Bookman Old Style"/>
                <w:sz w:val="20"/>
              </w:rPr>
            </w:pPr>
            <w:r w:rsidRPr="00343F2B">
              <w:rPr>
                <w:rFonts w:ascii="Bookman Old Style" w:hAnsi="Bookman Old Style"/>
                <w:sz w:val="20"/>
              </w:rPr>
              <w:t xml:space="preserve">Geodezyjna obsługa inwestycji, Główny Urząd Geodezji </w:t>
            </w:r>
            <w:r w:rsidRPr="00343F2B">
              <w:rPr>
                <w:rFonts w:ascii="Bookman Old Style" w:hAnsi="Bookman Old Style"/>
                <w:sz w:val="20"/>
              </w:rPr>
              <w:br/>
              <w:t>i Kartografii, Warszawa 1979</w:t>
            </w:r>
          </w:p>
        </w:tc>
      </w:tr>
      <w:tr w:rsidR="00124FE8" w:rsidRPr="00343F2B" w14:paraId="171438DD" w14:textId="77777777" w:rsidTr="00E37152">
        <w:tc>
          <w:tcPr>
            <w:tcW w:w="227" w:type="dxa"/>
          </w:tcPr>
          <w:p w14:paraId="72936EE1"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5.</w:t>
            </w:r>
          </w:p>
        </w:tc>
        <w:tc>
          <w:tcPr>
            <w:tcW w:w="2473" w:type="dxa"/>
          </w:tcPr>
          <w:p w14:paraId="1D1191EB" w14:textId="77777777" w:rsidR="00124FE8" w:rsidRPr="00343F2B" w:rsidRDefault="00124FE8" w:rsidP="00E37152">
            <w:pPr>
              <w:ind w:left="6"/>
              <w:jc w:val="both"/>
              <w:rPr>
                <w:rFonts w:ascii="Bookman Old Style" w:hAnsi="Bookman Old Style"/>
                <w:b/>
                <w:sz w:val="20"/>
              </w:rPr>
            </w:pPr>
            <w:r w:rsidRPr="00343F2B">
              <w:rPr>
                <w:rFonts w:ascii="Bookman Old Style" w:hAnsi="Bookman Old Style"/>
                <w:sz w:val="20"/>
              </w:rPr>
              <w:t>Wytyczne techniczne G-3.1.</w:t>
            </w:r>
          </w:p>
        </w:tc>
        <w:tc>
          <w:tcPr>
            <w:tcW w:w="6643" w:type="dxa"/>
          </w:tcPr>
          <w:p w14:paraId="4617B8AA" w14:textId="77777777" w:rsidR="00124FE8" w:rsidRPr="00343F2B" w:rsidRDefault="00124FE8" w:rsidP="00E37152">
            <w:pPr>
              <w:ind w:left="-70"/>
              <w:jc w:val="both"/>
              <w:rPr>
                <w:rFonts w:ascii="Bookman Old Style" w:hAnsi="Bookman Old Style"/>
                <w:sz w:val="20"/>
              </w:rPr>
            </w:pPr>
            <w:r w:rsidRPr="00343F2B">
              <w:rPr>
                <w:rFonts w:ascii="Bookman Old Style" w:hAnsi="Bookman Old Style"/>
                <w:sz w:val="20"/>
              </w:rPr>
              <w:t>Osnowy realizacyjne, GUGiK, 1983</w:t>
            </w:r>
          </w:p>
        </w:tc>
      </w:tr>
      <w:tr w:rsidR="00124FE8" w:rsidRPr="00343F2B" w14:paraId="42311DA9" w14:textId="77777777" w:rsidTr="00E37152">
        <w:tc>
          <w:tcPr>
            <w:tcW w:w="227" w:type="dxa"/>
          </w:tcPr>
          <w:p w14:paraId="7DD6275C"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6.</w:t>
            </w:r>
          </w:p>
        </w:tc>
        <w:tc>
          <w:tcPr>
            <w:tcW w:w="2473" w:type="dxa"/>
          </w:tcPr>
          <w:p w14:paraId="1BB0F3A7" w14:textId="77777777" w:rsidR="00124FE8" w:rsidRPr="00343F2B" w:rsidRDefault="00124FE8" w:rsidP="00E37152">
            <w:pPr>
              <w:ind w:left="6"/>
              <w:jc w:val="both"/>
              <w:rPr>
                <w:rFonts w:ascii="Bookman Old Style" w:hAnsi="Bookman Old Style"/>
                <w:b/>
                <w:sz w:val="20"/>
              </w:rPr>
            </w:pPr>
            <w:r w:rsidRPr="00343F2B">
              <w:rPr>
                <w:rFonts w:ascii="Bookman Old Style" w:hAnsi="Bookman Old Style"/>
                <w:sz w:val="20"/>
              </w:rPr>
              <w:t>Wytyczne techniczne G-3.2.</w:t>
            </w:r>
          </w:p>
        </w:tc>
        <w:tc>
          <w:tcPr>
            <w:tcW w:w="6643" w:type="dxa"/>
          </w:tcPr>
          <w:p w14:paraId="6E8011A0" w14:textId="77777777" w:rsidR="00124FE8" w:rsidRPr="00343F2B" w:rsidRDefault="00124FE8" w:rsidP="00E37152">
            <w:pPr>
              <w:ind w:left="-70"/>
              <w:jc w:val="both"/>
              <w:rPr>
                <w:rFonts w:ascii="Bookman Old Style" w:hAnsi="Bookman Old Style"/>
                <w:b/>
                <w:sz w:val="20"/>
              </w:rPr>
            </w:pPr>
            <w:r w:rsidRPr="00343F2B">
              <w:rPr>
                <w:rFonts w:ascii="Bookman Old Style" w:hAnsi="Bookman Old Style"/>
                <w:sz w:val="20"/>
              </w:rPr>
              <w:t>Pomiary realizacyjne, GUGiK, 1983</w:t>
            </w:r>
          </w:p>
        </w:tc>
      </w:tr>
      <w:tr w:rsidR="00124FE8" w:rsidRPr="00343F2B" w14:paraId="155A0FD4" w14:textId="77777777" w:rsidTr="00E37152">
        <w:tc>
          <w:tcPr>
            <w:tcW w:w="227" w:type="dxa"/>
          </w:tcPr>
          <w:p w14:paraId="714BC405" w14:textId="77777777" w:rsidR="00124FE8" w:rsidRPr="00343F2B" w:rsidRDefault="00124FE8" w:rsidP="00E37152">
            <w:pPr>
              <w:pStyle w:val="Tekstpodstawowy"/>
              <w:tabs>
                <w:tab w:val="left" w:pos="2700"/>
              </w:tabs>
              <w:ind w:left="-70"/>
              <w:jc w:val="both"/>
              <w:rPr>
                <w:rFonts w:ascii="Bookman Old Style" w:hAnsi="Bookman Old Style"/>
                <w:b w:val="0"/>
                <w:color w:val="auto"/>
                <w:sz w:val="20"/>
              </w:rPr>
            </w:pPr>
            <w:r w:rsidRPr="00343F2B">
              <w:rPr>
                <w:rFonts w:ascii="Bookman Old Style" w:hAnsi="Bookman Old Style"/>
                <w:b w:val="0"/>
                <w:color w:val="auto"/>
                <w:sz w:val="20"/>
              </w:rPr>
              <w:t>7.</w:t>
            </w:r>
          </w:p>
        </w:tc>
        <w:tc>
          <w:tcPr>
            <w:tcW w:w="2473" w:type="dxa"/>
          </w:tcPr>
          <w:p w14:paraId="02ABD5AD" w14:textId="77777777" w:rsidR="00124FE8" w:rsidRPr="00343F2B" w:rsidRDefault="00124FE8" w:rsidP="00E37152">
            <w:pPr>
              <w:ind w:left="6"/>
              <w:jc w:val="both"/>
              <w:rPr>
                <w:rFonts w:ascii="Bookman Old Style" w:hAnsi="Bookman Old Style"/>
                <w:b/>
                <w:sz w:val="20"/>
              </w:rPr>
            </w:pPr>
            <w:r w:rsidRPr="00343F2B">
              <w:rPr>
                <w:rFonts w:ascii="Bookman Old Style" w:hAnsi="Bookman Old Style"/>
                <w:sz w:val="20"/>
              </w:rPr>
              <w:t>Instrukcja techniczna G-4.</w:t>
            </w:r>
          </w:p>
        </w:tc>
        <w:tc>
          <w:tcPr>
            <w:tcW w:w="6643" w:type="dxa"/>
          </w:tcPr>
          <w:p w14:paraId="15310A05" w14:textId="77777777" w:rsidR="00124FE8" w:rsidRPr="00343F2B" w:rsidRDefault="00124FE8" w:rsidP="00E37152">
            <w:pPr>
              <w:ind w:left="-70"/>
              <w:jc w:val="both"/>
              <w:rPr>
                <w:rFonts w:ascii="Bookman Old Style" w:hAnsi="Bookman Old Style"/>
                <w:b/>
                <w:sz w:val="20"/>
              </w:rPr>
            </w:pPr>
            <w:r w:rsidRPr="00343F2B">
              <w:rPr>
                <w:rFonts w:ascii="Bookman Old Style" w:hAnsi="Bookman Old Style"/>
                <w:sz w:val="20"/>
              </w:rPr>
              <w:t>Pomiary sytuacyjne i wysokościowe, GUGiK, 1979</w:t>
            </w:r>
          </w:p>
        </w:tc>
      </w:tr>
    </w:tbl>
    <w:p w14:paraId="496ABFB9" w14:textId="77777777" w:rsidR="00D33DF2" w:rsidRDefault="00D33DF2"/>
    <w:sectPr w:rsidR="00D33D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766D"/>
    <w:multiLevelType w:val="hybridMultilevel"/>
    <w:tmpl w:val="E9E24768"/>
    <w:name w:val="WW8Num92"/>
    <w:lvl w:ilvl="0" w:tplc="D4E04762">
      <w:start w:val="1"/>
      <w:numFmt w:val="bullet"/>
      <w:lvlText w:val=""/>
      <w:lvlJc w:val="left"/>
      <w:pPr>
        <w:ind w:left="720" w:hanging="360"/>
      </w:pPr>
      <w:rPr>
        <w:rFonts w:ascii="Symbol" w:hAnsi="Symbol" w:hint="default"/>
      </w:rPr>
    </w:lvl>
    <w:lvl w:ilvl="1" w:tplc="E98EA30A" w:tentative="1">
      <w:start w:val="1"/>
      <w:numFmt w:val="bullet"/>
      <w:lvlText w:val="o"/>
      <w:lvlJc w:val="left"/>
      <w:pPr>
        <w:ind w:left="1440" w:hanging="360"/>
      </w:pPr>
      <w:rPr>
        <w:rFonts w:ascii="Courier New" w:hAnsi="Courier New" w:cs="Courier New" w:hint="default"/>
      </w:rPr>
    </w:lvl>
    <w:lvl w:ilvl="2" w:tplc="58B6CEE0" w:tentative="1">
      <w:start w:val="1"/>
      <w:numFmt w:val="bullet"/>
      <w:lvlText w:val=""/>
      <w:lvlJc w:val="left"/>
      <w:pPr>
        <w:ind w:left="2160" w:hanging="360"/>
      </w:pPr>
      <w:rPr>
        <w:rFonts w:ascii="Wingdings" w:hAnsi="Wingdings" w:hint="default"/>
      </w:rPr>
    </w:lvl>
    <w:lvl w:ilvl="3" w:tplc="F14212BE" w:tentative="1">
      <w:start w:val="1"/>
      <w:numFmt w:val="bullet"/>
      <w:lvlText w:val=""/>
      <w:lvlJc w:val="left"/>
      <w:pPr>
        <w:ind w:left="2880" w:hanging="360"/>
      </w:pPr>
      <w:rPr>
        <w:rFonts w:ascii="Symbol" w:hAnsi="Symbol" w:hint="default"/>
      </w:rPr>
    </w:lvl>
    <w:lvl w:ilvl="4" w:tplc="7BA4C93A" w:tentative="1">
      <w:start w:val="1"/>
      <w:numFmt w:val="bullet"/>
      <w:lvlText w:val="o"/>
      <w:lvlJc w:val="left"/>
      <w:pPr>
        <w:ind w:left="3600" w:hanging="360"/>
      </w:pPr>
      <w:rPr>
        <w:rFonts w:ascii="Courier New" w:hAnsi="Courier New" w:cs="Courier New" w:hint="default"/>
      </w:rPr>
    </w:lvl>
    <w:lvl w:ilvl="5" w:tplc="6CCC6A70" w:tentative="1">
      <w:start w:val="1"/>
      <w:numFmt w:val="bullet"/>
      <w:lvlText w:val=""/>
      <w:lvlJc w:val="left"/>
      <w:pPr>
        <w:ind w:left="4320" w:hanging="360"/>
      </w:pPr>
      <w:rPr>
        <w:rFonts w:ascii="Wingdings" w:hAnsi="Wingdings" w:hint="default"/>
      </w:rPr>
    </w:lvl>
    <w:lvl w:ilvl="6" w:tplc="E2B253F6" w:tentative="1">
      <w:start w:val="1"/>
      <w:numFmt w:val="bullet"/>
      <w:lvlText w:val=""/>
      <w:lvlJc w:val="left"/>
      <w:pPr>
        <w:ind w:left="5040" w:hanging="360"/>
      </w:pPr>
      <w:rPr>
        <w:rFonts w:ascii="Symbol" w:hAnsi="Symbol" w:hint="default"/>
      </w:rPr>
    </w:lvl>
    <w:lvl w:ilvl="7" w:tplc="857EC63C" w:tentative="1">
      <w:start w:val="1"/>
      <w:numFmt w:val="bullet"/>
      <w:lvlText w:val="o"/>
      <w:lvlJc w:val="left"/>
      <w:pPr>
        <w:ind w:left="5760" w:hanging="360"/>
      </w:pPr>
      <w:rPr>
        <w:rFonts w:ascii="Courier New" w:hAnsi="Courier New" w:cs="Courier New" w:hint="default"/>
      </w:rPr>
    </w:lvl>
    <w:lvl w:ilvl="8" w:tplc="5DB45844" w:tentative="1">
      <w:start w:val="1"/>
      <w:numFmt w:val="bullet"/>
      <w:lvlText w:val=""/>
      <w:lvlJc w:val="left"/>
      <w:pPr>
        <w:ind w:left="6480" w:hanging="360"/>
      </w:pPr>
      <w:rPr>
        <w:rFonts w:ascii="Wingdings" w:hAnsi="Wingdings" w:hint="default"/>
      </w:rPr>
    </w:lvl>
  </w:abstractNum>
  <w:abstractNum w:abstractNumId="1" w15:restartNumberingAfterBreak="0">
    <w:nsid w:val="1EAD1C55"/>
    <w:multiLevelType w:val="hybridMultilevel"/>
    <w:tmpl w:val="421ECD60"/>
    <w:lvl w:ilvl="0" w:tplc="A91E58DE">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BA44138"/>
    <w:multiLevelType w:val="hybridMultilevel"/>
    <w:tmpl w:val="A7ACF078"/>
    <w:lvl w:ilvl="0" w:tplc="2A44EAEC">
      <w:start w:val="1"/>
      <w:numFmt w:val="bullet"/>
      <w:lvlText w:val=""/>
      <w:lvlJc w:val="left"/>
      <w:pPr>
        <w:ind w:left="720" w:hanging="360"/>
      </w:pPr>
      <w:rPr>
        <w:rFonts w:ascii="Symbol" w:hAnsi="Symbol"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 w15:restartNumberingAfterBreak="0">
    <w:nsid w:val="48C32ED0"/>
    <w:multiLevelType w:val="hybridMultilevel"/>
    <w:tmpl w:val="214011E0"/>
    <w:lvl w:ilvl="0" w:tplc="73BA2F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D80DA4"/>
    <w:multiLevelType w:val="multilevel"/>
    <w:tmpl w:val="17E4FDBE"/>
    <w:lvl w:ilvl="0">
      <w:start w:val="1"/>
      <w:numFmt w:val="lowerLetter"/>
      <w:lvlText w:val="%1)"/>
      <w:lvlJc w:val="left"/>
      <w:pPr>
        <w:tabs>
          <w:tab w:val="num" w:pos="360"/>
        </w:tabs>
        <w:ind w:left="360" w:hanging="360"/>
      </w:pPr>
    </w:lvl>
    <w:lvl w:ilvl="1">
      <w:start w:val="1"/>
      <w:numFmt w:val="bullet"/>
      <w:lvlText w:val=""/>
      <w:lvlJc w:val="left"/>
      <w:pPr>
        <w:tabs>
          <w:tab w:val="num" w:pos="502"/>
        </w:tabs>
        <w:ind w:left="502"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43828290">
    <w:abstractNumId w:val="4"/>
  </w:num>
  <w:num w:numId="2" w16cid:durableId="91777399">
    <w:abstractNumId w:val="0"/>
  </w:num>
  <w:num w:numId="3" w16cid:durableId="1409502291">
    <w:abstractNumId w:val="3"/>
  </w:num>
  <w:num w:numId="4" w16cid:durableId="294532531">
    <w:abstractNumId w:val="2"/>
  </w:num>
  <w:num w:numId="5" w16cid:durableId="11975487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4FE8"/>
    <w:rsid w:val="00124FE8"/>
    <w:rsid w:val="00152B7A"/>
    <w:rsid w:val="002A2348"/>
    <w:rsid w:val="003661A9"/>
    <w:rsid w:val="00592AB0"/>
    <w:rsid w:val="005B1351"/>
    <w:rsid w:val="00713DDD"/>
    <w:rsid w:val="00A00262"/>
    <w:rsid w:val="00B96E7A"/>
    <w:rsid w:val="00BA7E91"/>
    <w:rsid w:val="00CB0C83"/>
    <w:rsid w:val="00D2338E"/>
    <w:rsid w:val="00D33DF2"/>
    <w:rsid w:val="00E142AC"/>
    <w:rsid w:val="00E47A13"/>
    <w:rsid w:val="00F037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0AB29"/>
  <w15:docId w15:val="{A7B5F860-A6B4-432E-854C-CFDE129CD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124FE8"/>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124FE8"/>
    <w:pPr>
      <w:keepNext/>
      <w:outlineLvl w:val="0"/>
    </w:pPr>
    <w:rPr>
      <w:rFonts w:ascii="Arial" w:hAnsi="Arial"/>
      <w:b/>
      <w:snapToGrid w:val="0"/>
      <w:color w:val="000000"/>
      <w:szCs w:val="20"/>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124FE8"/>
    <w:pPr>
      <w:keepNext/>
      <w:spacing w:before="120" w:after="60"/>
      <w:outlineLvl w:val="3"/>
    </w:pPr>
    <w:rPr>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24FE8"/>
    <w:rPr>
      <w:rFonts w:ascii="Arial" w:eastAsia="Times New Roman" w:hAnsi="Arial" w:cs="Times New Roman"/>
      <w:b/>
      <w:snapToGrid w:val="0"/>
      <w:color w:val="000000"/>
      <w:kern w:val="0"/>
      <w:sz w:val="24"/>
      <w:szCs w:val="20"/>
      <w:lang w:eastAsia="pl-PL"/>
      <w14:ligatures w14:val="none"/>
    </w:rPr>
  </w:style>
  <w:style w:type="character" w:customStyle="1" w:styleId="Nagwek4Znak">
    <w:name w:val="Nagłówek 4 Znak"/>
    <w:basedOn w:val="Domylnaczcionkaakapitu"/>
    <w:uiPriority w:val="9"/>
    <w:semiHidden/>
    <w:rsid w:val="00124FE8"/>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4Znak1">
    <w:name w:val="Nagłówek 4 Znak1"/>
    <w:aliases w:val="Nagłówek 4 Znak Znak Znak,Legenda Znak Znak Znak Znak,Nagłówek 4 Znak Znak Znak Znak Znak Znak,Znak Znak9 Znak Znak Znak Znak Znak Znak Znak Znak Znak,Znak4 Znak Znak Znak Znak Znak Znak Znak Znak Znak Znak,Znak Znak9 Znak"/>
    <w:basedOn w:val="Domylnaczcionkaakapitu"/>
    <w:link w:val="Nagwek4"/>
    <w:rsid w:val="00124FE8"/>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124FE8"/>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124FE8"/>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1, Znak3 Znak Znak Znak Znak Znak Znak Znak Znak"/>
    <w:basedOn w:val="Domylnaczcionkaakapitu"/>
    <w:link w:val="Tekstpodstawowy"/>
    <w:rsid w:val="00124FE8"/>
    <w:rPr>
      <w:rFonts w:ascii="Arial" w:eastAsia="Times New Roman" w:hAnsi="Arial" w:cs="Times New Roman"/>
      <w:b/>
      <w:snapToGrid w:val="0"/>
      <w:color w:val="000000"/>
      <w:kern w:val="0"/>
      <w:sz w:val="24"/>
      <w:szCs w:val="20"/>
      <w:lang w:eastAsia="pl-PL"/>
      <w14:ligatures w14:val="none"/>
    </w:rPr>
  </w:style>
  <w:style w:type="paragraph" w:styleId="Tekstpodstawowy2">
    <w:name w:val="Body Text 2"/>
    <w:aliases w:val="Tekst podstawowy 22, Znak Znak7, Znak Znak8, Znak Znak41, Znak Znak4,Znak Znak7,Znak Znak8,Znak Znak41"/>
    <w:basedOn w:val="Normalny"/>
    <w:link w:val="Tekstpodstawowy2Znak"/>
    <w:rsid w:val="00124FE8"/>
    <w:pPr>
      <w:tabs>
        <w:tab w:val="left" w:pos="0"/>
        <w:tab w:val="right" w:pos="5766"/>
      </w:tabs>
      <w:spacing w:line="240" w:lineRule="atLeast"/>
    </w:pPr>
    <w:rPr>
      <w:rFonts w:ascii="Arial" w:hAnsi="Arial"/>
      <w:szCs w:val="20"/>
      <w:lang w:val="en-GB"/>
    </w:rPr>
  </w:style>
  <w:style w:type="character" w:customStyle="1" w:styleId="Tekstpodstawowy2Znak">
    <w:name w:val="Tekst podstawowy 2 Znak"/>
    <w:aliases w:val="Tekst podstawowy 22 Znak, Znak Znak7 Znak, Znak Znak8 Znak, Znak Znak41 Znak, Znak Znak4 Znak,Znak Znak7 Znak,Znak Znak8 Znak,Znak Znak41 Znak"/>
    <w:basedOn w:val="Domylnaczcionkaakapitu"/>
    <w:link w:val="Tekstpodstawowy2"/>
    <w:rsid w:val="00124FE8"/>
    <w:rPr>
      <w:rFonts w:ascii="Arial" w:eastAsia="Times New Roman" w:hAnsi="Arial" w:cs="Times New Roman"/>
      <w:kern w:val="0"/>
      <w:sz w:val="24"/>
      <w:szCs w:val="20"/>
      <w:lang w:val="en-GB" w:eastAsia="pl-PL"/>
      <w14:ligatures w14:val="none"/>
    </w:rPr>
  </w:style>
  <w:style w:type="paragraph" w:styleId="Tekstpodstawowy3">
    <w:name w:val="Body Text 3"/>
    <w:basedOn w:val="Normalny"/>
    <w:link w:val="Tekstpodstawowy3Znak"/>
    <w:rsid w:val="00124FE8"/>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124FE8"/>
    <w:rPr>
      <w:rFonts w:ascii="Times New Roman" w:eastAsia="Times New Roman" w:hAnsi="Times New Roman" w:cs="Times New Roman"/>
      <w:kern w:val="0"/>
      <w:szCs w:val="20"/>
      <w:lang w:eastAsia="pl-PL"/>
      <w14:ligatures w14:val="none"/>
    </w:rPr>
  </w:style>
  <w:style w:type="paragraph" w:styleId="Tekstkomentarza">
    <w:name w:val="annotation text"/>
    <w:aliases w:val=" Znak1, Znak11, Znak,Znak1,Znak11"/>
    <w:basedOn w:val="Normalny"/>
    <w:link w:val="TekstkomentarzaZnak"/>
    <w:rsid w:val="00124FE8"/>
    <w:rPr>
      <w:sz w:val="20"/>
      <w:szCs w:val="20"/>
    </w:rPr>
  </w:style>
  <w:style w:type="character" w:customStyle="1" w:styleId="TekstkomentarzaZnak">
    <w:name w:val="Tekst komentarza Znak"/>
    <w:aliases w:val=" Znak1 Znak, Znak11 Znak, Znak Znak,Znak1 Znak,Znak11 Znak"/>
    <w:basedOn w:val="Domylnaczcionkaakapitu"/>
    <w:link w:val="Tekstkomentarza"/>
    <w:rsid w:val="00124FE8"/>
    <w:rPr>
      <w:rFonts w:ascii="Times New Roman" w:eastAsia="Times New Roman" w:hAnsi="Times New Roman" w:cs="Times New Roman"/>
      <w:kern w:val="0"/>
      <w:sz w:val="20"/>
      <w:szCs w:val="20"/>
      <w:lang w:eastAsia="pl-PL"/>
      <w14:ligatures w14:val="none"/>
    </w:rPr>
  </w:style>
  <w:style w:type="paragraph" w:customStyle="1" w:styleId="Tematkomentarza1">
    <w:name w:val="Temat komentarza1"/>
    <w:basedOn w:val="Tekstkomentarza"/>
    <w:next w:val="Tekstkomentarza"/>
    <w:semiHidden/>
    <w:rsid w:val="00124FE8"/>
    <w:rPr>
      <w:b/>
      <w:bCs/>
    </w:rPr>
  </w:style>
  <w:style w:type="paragraph" w:styleId="Akapitzlist">
    <w:name w:val="List Paragraph"/>
    <w:basedOn w:val="Normalny"/>
    <w:uiPriority w:val="34"/>
    <w:qFormat/>
    <w:rsid w:val="00124F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1108</Words>
  <Characters>6649</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Karol Kossakowski</cp:lastModifiedBy>
  <cp:revision>5</cp:revision>
  <dcterms:created xsi:type="dcterms:W3CDTF">2025-01-28T12:06:00Z</dcterms:created>
  <dcterms:modified xsi:type="dcterms:W3CDTF">2026-04-11T15:44:00Z</dcterms:modified>
</cp:coreProperties>
</file>